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42" w:rsidRDefault="00AC1442" w:rsidP="00AC1442">
      <w:pPr>
        <w:pStyle w:val="a7"/>
        <w:spacing w:line="240" w:lineRule="exact"/>
        <w:rPr>
          <w:rFonts w:ascii="微软雅黑" w:eastAsia="微软雅黑" w:hAnsi="微软雅黑" w:hint="default"/>
          <w:sz w:val="22"/>
          <w:szCs w:val="22"/>
        </w:rPr>
      </w:pPr>
    </w:p>
    <w:p w:rsidR="000C0329" w:rsidRPr="00AC1442" w:rsidRDefault="003B552A" w:rsidP="00AC1442">
      <w:pPr>
        <w:pStyle w:val="a7"/>
        <w:spacing w:line="600" w:lineRule="exact"/>
        <w:rPr>
          <w:rFonts w:ascii="微软雅黑" w:eastAsia="微软雅黑" w:hAnsi="微软雅黑" w:hint="default"/>
          <w:b/>
          <w:bCs/>
          <w:color w:val="7030A0"/>
          <w:sz w:val="40"/>
          <w:szCs w:val="40"/>
        </w:rPr>
      </w:pPr>
      <w:r w:rsidRPr="00AC1442">
        <w:rPr>
          <w:rFonts w:ascii="微软雅黑" w:eastAsia="微软雅黑" w:hAnsi="微软雅黑"/>
          <w:b/>
          <w:bCs/>
          <w:color w:val="7030A0"/>
          <w:sz w:val="40"/>
          <w:szCs w:val="40"/>
        </w:rPr>
        <w:t>最高人民法院</w:t>
      </w:r>
    </w:p>
    <w:p w:rsidR="000C0329" w:rsidRPr="00AC1442" w:rsidRDefault="003B552A" w:rsidP="00AC1442">
      <w:pPr>
        <w:pStyle w:val="a7"/>
        <w:spacing w:line="600" w:lineRule="exact"/>
        <w:rPr>
          <w:rFonts w:ascii="微软雅黑" w:eastAsia="微软雅黑" w:hAnsi="微软雅黑" w:hint="default"/>
          <w:b/>
          <w:bCs/>
          <w:color w:val="7030A0"/>
          <w:sz w:val="40"/>
          <w:szCs w:val="40"/>
        </w:rPr>
      </w:pPr>
      <w:r w:rsidRPr="00AC1442">
        <w:rPr>
          <w:rFonts w:ascii="微软雅黑" w:eastAsia="微软雅黑" w:hAnsi="微软雅黑"/>
          <w:b/>
          <w:bCs/>
          <w:color w:val="7030A0"/>
          <w:sz w:val="40"/>
          <w:szCs w:val="40"/>
        </w:rPr>
        <w:t>关于严格</w:t>
      </w:r>
      <w:proofErr w:type="gramStart"/>
      <w:r w:rsidRPr="00AC1442">
        <w:rPr>
          <w:rFonts w:ascii="微软雅黑" w:eastAsia="微软雅黑" w:hAnsi="微软雅黑"/>
          <w:b/>
          <w:bCs/>
          <w:color w:val="7030A0"/>
          <w:sz w:val="40"/>
          <w:szCs w:val="40"/>
        </w:rPr>
        <w:t>规范民</w:t>
      </w:r>
      <w:proofErr w:type="gramEnd"/>
      <w:r w:rsidRPr="00AC1442">
        <w:rPr>
          <w:rFonts w:ascii="微软雅黑" w:eastAsia="微软雅黑" w:hAnsi="微软雅黑"/>
          <w:b/>
          <w:bCs/>
          <w:color w:val="7030A0"/>
          <w:sz w:val="40"/>
          <w:szCs w:val="40"/>
        </w:rPr>
        <w:t>商事案件延长审限和延期开庭问题的规定</w:t>
      </w:r>
    </w:p>
    <w:p w:rsidR="000C0329" w:rsidRDefault="000C0329" w:rsidP="00AC1442">
      <w:pPr>
        <w:pStyle w:val="a8"/>
        <w:spacing w:line="240" w:lineRule="exact"/>
        <w:ind w:firstLineChars="0" w:firstLine="0"/>
        <w:rPr>
          <w:rFonts w:ascii="微软雅黑" w:eastAsia="微软雅黑" w:hAnsi="微软雅黑" w:cs="宋体"/>
          <w:sz w:val="22"/>
          <w:szCs w:val="22"/>
        </w:rPr>
      </w:pPr>
    </w:p>
    <w:p w:rsidR="00AC1442" w:rsidRDefault="00AC1442" w:rsidP="00AC1442">
      <w:pPr>
        <w:pStyle w:val="a8"/>
        <w:spacing w:line="240" w:lineRule="exact"/>
        <w:ind w:firstLineChars="0" w:firstLine="0"/>
        <w:jc w:val="center"/>
        <w:rPr>
          <w:rFonts w:ascii="微软雅黑" w:eastAsia="微软雅黑" w:hAnsi="微软雅黑" w:cs="宋体"/>
          <w:sz w:val="22"/>
          <w:szCs w:val="22"/>
        </w:rPr>
      </w:pPr>
      <w:r>
        <w:rPr>
          <w:rFonts w:ascii="微软雅黑" w:eastAsia="微软雅黑" w:hAnsi="微软雅黑" w:cs="宋体" w:hint="eastAsia"/>
          <w:sz w:val="22"/>
          <w:szCs w:val="22"/>
        </w:rPr>
        <w:t>2019-03-28</w:t>
      </w:r>
      <w:bookmarkStart w:id="0" w:name="_GoBack"/>
      <w:bookmarkEnd w:id="0"/>
    </w:p>
    <w:p w:rsidR="00AC1442" w:rsidRDefault="00AC1442" w:rsidP="00AC1442">
      <w:pPr>
        <w:pStyle w:val="a8"/>
        <w:spacing w:line="240" w:lineRule="exact"/>
        <w:ind w:firstLineChars="0" w:firstLine="0"/>
        <w:rPr>
          <w:rFonts w:ascii="微软雅黑" w:eastAsia="微软雅黑" w:hAnsi="微软雅黑" w:cs="宋体" w:hint="eastAsia"/>
          <w:sz w:val="22"/>
          <w:szCs w:val="22"/>
        </w:rPr>
      </w:pPr>
    </w:p>
    <w:p w:rsidR="00AC1442" w:rsidRDefault="00EB3FFB" w:rsidP="00AC1442">
      <w:pPr>
        <w:pStyle w:val="a8"/>
        <w:spacing w:line="240" w:lineRule="exact"/>
        <w:ind w:firstLineChars="0" w:firstLine="0"/>
        <w:jc w:val="center"/>
        <w:rPr>
          <w:rFonts w:ascii="微软雅黑" w:eastAsia="微软雅黑" w:hAnsi="微软雅黑" w:cs="宋体"/>
          <w:sz w:val="22"/>
          <w:szCs w:val="22"/>
        </w:rPr>
      </w:pPr>
      <w:r>
        <w:rPr>
          <w:rFonts w:ascii="微软雅黑" w:eastAsia="微软雅黑" w:hAnsi="微软雅黑" w:cs="宋体" w:hint="eastAsia"/>
          <w:sz w:val="22"/>
          <w:szCs w:val="22"/>
        </w:rPr>
        <w:t>附件：</w:t>
      </w:r>
      <w:r w:rsidR="00AC1442" w:rsidRPr="00AC1442">
        <w:rPr>
          <w:rFonts w:ascii="微软雅黑" w:eastAsia="微软雅黑" w:hAnsi="微软雅黑" w:cs="宋体" w:hint="eastAsia"/>
          <w:sz w:val="22"/>
          <w:szCs w:val="22"/>
        </w:rPr>
        <w:t>法释〔2019〕4号</w:t>
      </w:r>
    </w:p>
    <w:p w:rsidR="00AC1442" w:rsidRPr="00AC1442" w:rsidRDefault="00AC1442" w:rsidP="00AC1442">
      <w:pPr>
        <w:pStyle w:val="a8"/>
        <w:spacing w:line="240" w:lineRule="exact"/>
        <w:ind w:firstLineChars="0" w:firstLine="0"/>
        <w:rPr>
          <w:rFonts w:ascii="微软雅黑" w:eastAsia="微软雅黑" w:hAnsi="微软雅黑" w:cs="宋体" w:hint="eastAsia"/>
          <w:sz w:val="22"/>
          <w:szCs w:val="22"/>
        </w:rPr>
      </w:pPr>
    </w:p>
    <w:p w:rsidR="000C0329" w:rsidRPr="00AC1442" w:rsidRDefault="003B552A" w:rsidP="00AC1442">
      <w:pPr>
        <w:pStyle w:val="a9"/>
        <w:spacing w:line="240" w:lineRule="exact"/>
        <w:ind w:leftChars="200" w:left="420" w:rightChars="200" w:right="420" w:firstLineChars="200" w:firstLine="420"/>
        <w:rPr>
          <w:rFonts w:ascii="微软雅黑" w:eastAsia="微软雅黑" w:hAnsi="微软雅黑"/>
          <w:sz w:val="21"/>
          <w:szCs w:val="21"/>
        </w:rPr>
      </w:pPr>
      <w:r w:rsidRPr="00AC1442">
        <w:rPr>
          <w:rFonts w:ascii="微软雅黑" w:eastAsia="微软雅黑" w:hAnsi="微软雅黑" w:hint="eastAsia"/>
          <w:sz w:val="21"/>
          <w:szCs w:val="21"/>
        </w:rPr>
        <w:t>（</w:t>
      </w:r>
      <w:r w:rsidRPr="00AC1442">
        <w:rPr>
          <w:rFonts w:ascii="微软雅黑" w:eastAsia="微软雅黑" w:hAnsi="微软雅黑" w:hint="eastAsia"/>
          <w:sz w:val="21"/>
          <w:szCs w:val="21"/>
        </w:rPr>
        <w:t>2018</w:t>
      </w:r>
      <w:r w:rsidRPr="00AC1442">
        <w:rPr>
          <w:rFonts w:ascii="微软雅黑" w:eastAsia="微软雅黑" w:hAnsi="微软雅黑" w:hint="eastAsia"/>
          <w:sz w:val="21"/>
          <w:szCs w:val="21"/>
        </w:rPr>
        <w:t>年</w:t>
      </w:r>
      <w:r w:rsidRPr="00AC1442">
        <w:rPr>
          <w:rFonts w:ascii="微软雅黑" w:eastAsia="微软雅黑" w:hAnsi="微软雅黑" w:hint="eastAsia"/>
          <w:sz w:val="21"/>
          <w:szCs w:val="21"/>
        </w:rPr>
        <w:t>4</w:t>
      </w:r>
      <w:r w:rsidRPr="00AC1442">
        <w:rPr>
          <w:rFonts w:ascii="微软雅黑" w:eastAsia="微软雅黑" w:hAnsi="微软雅黑" w:hint="eastAsia"/>
          <w:sz w:val="21"/>
          <w:szCs w:val="21"/>
        </w:rPr>
        <w:t>月</w:t>
      </w:r>
      <w:r w:rsidRPr="00AC1442">
        <w:rPr>
          <w:rFonts w:ascii="微软雅黑" w:eastAsia="微软雅黑" w:hAnsi="微软雅黑" w:hint="eastAsia"/>
          <w:sz w:val="21"/>
          <w:szCs w:val="21"/>
        </w:rPr>
        <w:t>23</w:t>
      </w:r>
      <w:r w:rsidRPr="00AC1442">
        <w:rPr>
          <w:rFonts w:ascii="微软雅黑" w:eastAsia="微软雅黑" w:hAnsi="微软雅黑" w:hint="eastAsia"/>
          <w:sz w:val="21"/>
          <w:szCs w:val="21"/>
        </w:rPr>
        <w:t>日最高人民法院审判委员会第</w:t>
      </w:r>
      <w:r w:rsidRPr="00AC1442">
        <w:rPr>
          <w:rFonts w:ascii="微软雅黑" w:eastAsia="微软雅黑" w:hAnsi="微软雅黑" w:hint="eastAsia"/>
          <w:sz w:val="21"/>
          <w:szCs w:val="21"/>
        </w:rPr>
        <w:t>1737</w:t>
      </w:r>
      <w:r w:rsidRPr="00AC1442">
        <w:rPr>
          <w:rFonts w:ascii="微软雅黑" w:eastAsia="微软雅黑" w:hAnsi="微软雅黑" w:hint="eastAsia"/>
          <w:sz w:val="21"/>
          <w:szCs w:val="21"/>
        </w:rPr>
        <w:t>次会议通过，根据</w:t>
      </w:r>
      <w:r w:rsidRPr="00AC1442">
        <w:rPr>
          <w:rFonts w:ascii="微软雅黑" w:eastAsia="微软雅黑" w:hAnsi="微软雅黑" w:hint="eastAsia"/>
          <w:sz w:val="21"/>
          <w:szCs w:val="21"/>
        </w:rPr>
        <w:t>2019</w:t>
      </w:r>
      <w:r w:rsidRPr="00AC1442">
        <w:rPr>
          <w:rFonts w:ascii="微软雅黑" w:eastAsia="微软雅黑" w:hAnsi="微软雅黑" w:hint="eastAsia"/>
          <w:sz w:val="21"/>
          <w:szCs w:val="21"/>
        </w:rPr>
        <w:t>年</w:t>
      </w:r>
      <w:r w:rsidRPr="00AC1442">
        <w:rPr>
          <w:rFonts w:ascii="微软雅黑" w:eastAsia="微软雅黑" w:hAnsi="微软雅黑" w:hint="eastAsia"/>
          <w:sz w:val="21"/>
          <w:szCs w:val="21"/>
        </w:rPr>
        <w:t>2</w:t>
      </w:r>
      <w:r w:rsidRPr="00AC1442">
        <w:rPr>
          <w:rFonts w:ascii="微软雅黑" w:eastAsia="微软雅黑" w:hAnsi="微软雅黑" w:hint="eastAsia"/>
          <w:sz w:val="21"/>
          <w:szCs w:val="21"/>
        </w:rPr>
        <w:t>月</w:t>
      </w:r>
      <w:r w:rsidRPr="00AC1442">
        <w:rPr>
          <w:rFonts w:ascii="微软雅黑" w:eastAsia="微软雅黑" w:hAnsi="微软雅黑" w:hint="eastAsia"/>
          <w:sz w:val="21"/>
          <w:szCs w:val="21"/>
        </w:rPr>
        <w:t>25</w:t>
      </w:r>
      <w:r w:rsidRPr="00AC1442">
        <w:rPr>
          <w:rFonts w:ascii="微软雅黑" w:eastAsia="微软雅黑" w:hAnsi="微软雅黑" w:hint="eastAsia"/>
          <w:sz w:val="21"/>
          <w:szCs w:val="21"/>
        </w:rPr>
        <w:t>日最高人民法院审判委员会第</w:t>
      </w:r>
      <w:r w:rsidRPr="00AC1442">
        <w:rPr>
          <w:rFonts w:ascii="微软雅黑" w:eastAsia="微软雅黑" w:hAnsi="微软雅黑" w:hint="eastAsia"/>
          <w:sz w:val="21"/>
          <w:szCs w:val="21"/>
        </w:rPr>
        <w:t>1762</w:t>
      </w:r>
      <w:r w:rsidRPr="00AC1442">
        <w:rPr>
          <w:rFonts w:ascii="微软雅黑" w:eastAsia="微软雅黑" w:hAnsi="微软雅黑" w:hint="eastAsia"/>
          <w:sz w:val="21"/>
          <w:szCs w:val="21"/>
        </w:rPr>
        <w:t>次会议通过的《最高人民法院关于修改〈最高人民法院关于严格规范民商事案件延长审限和延期开庭问题的规定〉的决定》修正）</w:t>
      </w:r>
    </w:p>
    <w:p w:rsidR="000C0329" w:rsidRPr="00AC1442" w:rsidRDefault="000C0329" w:rsidP="00AC1442">
      <w:pPr>
        <w:pStyle w:val="a8"/>
        <w:spacing w:line="340" w:lineRule="exact"/>
        <w:ind w:firstLine="480"/>
        <w:rPr>
          <w:rFonts w:ascii="微软雅黑" w:eastAsia="微软雅黑" w:hAnsi="微软雅黑" w:cs="宋体"/>
          <w:sz w:val="24"/>
          <w:szCs w:val="24"/>
        </w:rPr>
      </w:pP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为维护诉讼当事人合法权益，根据《中华人民共和国民事诉讼法》等规定，结合审判实际，现就民商事案件延长审限和延期开庭等有关问题规定如下。</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第一条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人民法院审理民商事案件时，应当严格遵守法律及司法解释有关审限的规定。适用普通程序审理的第一审案件，审限为六个月；适用简易程序审理</w:t>
      </w:r>
      <w:r w:rsidRPr="00AC1442">
        <w:rPr>
          <w:rFonts w:ascii="微软雅黑" w:eastAsia="微软雅黑" w:hAnsi="微软雅黑" w:cs="宋体" w:hint="eastAsia"/>
          <w:sz w:val="24"/>
          <w:szCs w:val="24"/>
        </w:rPr>
        <w:t>的第一审案件，审限为三个月。审理对判决的上诉案件，审限为三个月；审理对裁定的上诉案件，审限为三十日。</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法律规定有特殊情况需要延长审限的，独任审判员或合议庭应当在期限届满十五日前向本院院长提出申请，并说明详细情况和理由。院长应当在期限届满五日前</w:t>
      </w:r>
      <w:proofErr w:type="gramStart"/>
      <w:r w:rsidRPr="00AC1442">
        <w:rPr>
          <w:rFonts w:ascii="微软雅黑" w:eastAsia="微软雅黑" w:hAnsi="微软雅黑" w:cs="宋体" w:hint="eastAsia"/>
          <w:sz w:val="24"/>
          <w:szCs w:val="24"/>
        </w:rPr>
        <w:t>作出</w:t>
      </w:r>
      <w:proofErr w:type="gramEnd"/>
      <w:r w:rsidRPr="00AC1442">
        <w:rPr>
          <w:rFonts w:ascii="微软雅黑" w:eastAsia="微软雅黑" w:hAnsi="微软雅黑" w:cs="宋体" w:hint="eastAsia"/>
          <w:sz w:val="24"/>
          <w:szCs w:val="24"/>
        </w:rPr>
        <w:t>决定。</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经本院院长批准延长</w:t>
      </w:r>
      <w:proofErr w:type="gramStart"/>
      <w:r w:rsidRPr="00AC1442">
        <w:rPr>
          <w:rFonts w:ascii="微软雅黑" w:eastAsia="微软雅黑" w:hAnsi="微软雅黑" w:cs="宋体" w:hint="eastAsia"/>
          <w:sz w:val="24"/>
          <w:szCs w:val="24"/>
        </w:rPr>
        <w:t>审限后尚</w:t>
      </w:r>
      <w:proofErr w:type="gramEnd"/>
      <w:r w:rsidRPr="00AC1442">
        <w:rPr>
          <w:rFonts w:ascii="微软雅黑" w:eastAsia="微软雅黑" w:hAnsi="微软雅黑" w:cs="宋体" w:hint="eastAsia"/>
          <w:sz w:val="24"/>
          <w:szCs w:val="24"/>
        </w:rPr>
        <w:t>不能结案，需要再次延长的，应当在期限届满十五日前报请上级人民法院批准。上级人民法院应当在审限届满五日前</w:t>
      </w:r>
      <w:proofErr w:type="gramStart"/>
      <w:r w:rsidRPr="00AC1442">
        <w:rPr>
          <w:rFonts w:ascii="微软雅黑" w:eastAsia="微软雅黑" w:hAnsi="微软雅黑" w:cs="宋体" w:hint="eastAsia"/>
          <w:sz w:val="24"/>
          <w:szCs w:val="24"/>
        </w:rPr>
        <w:t>作出</w:t>
      </w:r>
      <w:proofErr w:type="gramEnd"/>
      <w:r w:rsidRPr="00AC1442">
        <w:rPr>
          <w:rFonts w:ascii="微软雅黑" w:eastAsia="微软雅黑" w:hAnsi="微软雅黑" w:cs="宋体" w:hint="eastAsia"/>
          <w:sz w:val="24"/>
          <w:szCs w:val="24"/>
        </w:rPr>
        <w:t>决定。</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第二条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民事诉讼法第一百四十六条第四项规定的“其他应当延期的情形”，是指因不可抗力或者意外事件导致庭审无法正常进行的</w:t>
      </w:r>
      <w:r w:rsidRPr="00AC1442">
        <w:rPr>
          <w:rFonts w:ascii="微软雅黑" w:eastAsia="微软雅黑" w:hAnsi="微软雅黑" w:cs="宋体" w:hint="eastAsia"/>
          <w:sz w:val="24"/>
          <w:szCs w:val="24"/>
        </w:rPr>
        <w:t>情形。</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第三条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人民法院应当严格限制延期开庭审理次数。适用普通程序审理民商事案件，延期开庭审理次数不超过两次；适用简易程序以及</w:t>
      </w:r>
      <w:proofErr w:type="gramStart"/>
      <w:r w:rsidRPr="00AC1442">
        <w:rPr>
          <w:rFonts w:ascii="微软雅黑" w:eastAsia="微软雅黑" w:hAnsi="微软雅黑" w:cs="宋体" w:hint="eastAsia"/>
          <w:sz w:val="24"/>
          <w:szCs w:val="24"/>
        </w:rPr>
        <w:t>小额速裁程序</w:t>
      </w:r>
      <w:proofErr w:type="gramEnd"/>
      <w:r w:rsidRPr="00AC1442">
        <w:rPr>
          <w:rFonts w:ascii="微软雅黑" w:eastAsia="微软雅黑" w:hAnsi="微软雅黑" w:cs="宋体" w:hint="eastAsia"/>
          <w:sz w:val="24"/>
          <w:szCs w:val="24"/>
        </w:rPr>
        <w:t>审理民商事案件，延期开庭审理次数不超过一次。</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第四条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基层人民法院及其派出的法庭审理事实清楚、权利义务关系明确、争议不大的简单民商事案件，适用简易程序。</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基层人民法院及其派出的法庭审理符合前款规定且标的额为各省、自治区、直辖市上年度就业人员年平均工资两倍以下的民商事案件，应当适用简易程序，法律及司法解释规定不适用简易程序的案件除外。</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适用简易程序审理的民商事案件，证据</w:t>
      </w:r>
      <w:r w:rsidRPr="00AC1442">
        <w:rPr>
          <w:rFonts w:ascii="微软雅黑" w:eastAsia="微软雅黑" w:hAnsi="微软雅黑" w:cs="宋体" w:hint="eastAsia"/>
          <w:sz w:val="24"/>
          <w:szCs w:val="24"/>
        </w:rPr>
        <w:t>交换、庭前会议等庭前准备程序与开庭程序一并进行，不再另行组织。</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AC1442">
        <w:rPr>
          <w:rFonts w:ascii="微软雅黑" w:eastAsia="微软雅黑" w:hAnsi="微软雅黑" w:cs="宋体" w:hint="eastAsia"/>
          <w:sz w:val="24"/>
          <w:szCs w:val="24"/>
        </w:rPr>
        <w:t>适用简易程序的案件，不适用公告送达。</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第五条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人民法院开庭审理民商事案件后，认为需要延期开庭审理的，应当依法告知当事人下次开庭的时间。两次开庭间隔时间不得超过一个月，但因不可抗力或当事人同意的除外。</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第六条</w:t>
      </w:r>
      <w:r w:rsidRPr="008E4BA3">
        <w:rPr>
          <w:rFonts w:ascii="微软雅黑" w:eastAsia="微软雅黑" w:hAnsi="微软雅黑" w:cs="宋体" w:hint="eastAsia"/>
          <w:b/>
          <w:bCs/>
          <w:sz w:val="24"/>
          <w:szCs w:val="24"/>
        </w:rPr>
        <w:t xml:space="preserve"> </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独任审判员或者合议庭适用民事诉讼法第一百四十六条第四项规定决定延期开庭的，应当报本院院长批准。</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第七条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人民法院应当将案件的立案时间、审理期限，扣除、延长、重新计算审限，延期开庭审理的情况及事由，按照《最高人民法院关于人民法院通过互联</w:t>
      </w:r>
      <w:r w:rsidRPr="00AC1442">
        <w:rPr>
          <w:rFonts w:ascii="微软雅黑" w:eastAsia="微软雅黑" w:hAnsi="微软雅黑" w:cs="宋体" w:hint="eastAsia"/>
          <w:sz w:val="24"/>
          <w:szCs w:val="24"/>
        </w:rPr>
        <w:t>网公开审判流程信息的规定》及时向当事人及其法定代理人、诉讼代理人公开。当事人及其法定代理人、诉讼代理人有异议的，可以依法向受理案件的法院申请监督。</w:t>
      </w:r>
    </w:p>
    <w:p w:rsidR="000C0329" w:rsidRPr="00AC1442" w:rsidRDefault="003B552A" w:rsidP="00AC1442">
      <w:pPr>
        <w:pStyle w:val="a3"/>
        <w:spacing w:line="340" w:lineRule="exact"/>
        <w:ind w:firstLineChars="200" w:firstLine="480"/>
        <w:rPr>
          <w:rFonts w:ascii="微软雅黑" w:eastAsia="微软雅黑" w:hAnsi="微软雅黑" w:cs="宋体"/>
          <w:sz w:val="24"/>
          <w:szCs w:val="24"/>
        </w:rPr>
      </w:pPr>
      <w:r w:rsidRPr="008E4BA3">
        <w:rPr>
          <w:rFonts w:ascii="微软雅黑" w:eastAsia="微软雅黑" w:hAnsi="微软雅黑" w:cs="宋体" w:hint="eastAsia"/>
          <w:b/>
          <w:bCs/>
          <w:sz w:val="24"/>
          <w:szCs w:val="24"/>
        </w:rPr>
        <w:t>第八条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故意违反法律、审判纪律、审判管理规定拖延办案，或者因过失延误办案，造成严重后果的，依照《人民法院工作人员处分条例》第四十七条的规定予以处分。</w:t>
      </w:r>
    </w:p>
    <w:p w:rsidR="000C0329" w:rsidRPr="00AC1442" w:rsidRDefault="003B552A" w:rsidP="00AC1442">
      <w:pPr>
        <w:pStyle w:val="a3"/>
        <w:spacing w:line="340" w:lineRule="exact"/>
        <w:ind w:firstLineChars="200" w:firstLine="480"/>
        <w:rPr>
          <w:rFonts w:ascii="微软雅黑" w:eastAsia="微软雅黑" w:hAnsi="微软雅黑"/>
          <w:sz w:val="24"/>
          <w:szCs w:val="24"/>
        </w:rPr>
      </w:pPr>
      <w:r w:rsidRPr="008E4BA3">
        <w:rPr>
          <w:rFonts w:ascii="微软雅黑" w:eastAsia="微软雅黑" w:hAnsi="微软雅黑" w:cs="宋体" w:hint="eastAsia"/>
          <w:b/>
          <w:bCs/>
          <w:sz w:val="24"/>
          <w:szCs w:val="24"/>
        </w:rPr>
        <w:t>第九条</w:t>
      </w:r>
      <w:r w:rsidRPr="00AC1442">
        <w:rPr>
          <w:rFonts w:ascii="微软雅黑" w:eastAsia="微软雅黑" w:hAnsi="微软雅黑" w:cs="宋体" w:hint="eastAsia"/>
          <w:sz w:val="24"/>
          <w:szCs w:val="24"/>
        </w:rPr>
        <w:t xml:space="preserve">  </w:t>
      </w:r>
      <w:r w:rsidRPr="00AC1442">
        <w:rPr>
          <w:rFonts w:ascii="微软雅黑" w:eastAsia="微软雅黑" w:hAnsi="微软雅黑" w:cs="宋体" w:hint="eastAsia"/>
          <w:sz w:val="24"/>
          <w:szCs w:val="24"/>
        </w:rPr>
        <w:t>本规定自</w:t>
      </w:r>
      <w:r w:rsidRPr="00AC1442">
        <w:rPr>
          <w:rFonts w:ascii="微软雅黑" w:eastAsia="微软雅黑" w:hAnsi="微软雅黑" w:cs="宋体" w:hint="eastAsia"/>
          <w:sz w:val="24"/>
          <w:szCs w:val="24"/>
        </w:rPr>
        <w:t>2018</w:t>
      </w:r>
      <w:r w:rsidRPr="00AC1442">
        <w:rPr>
          <w:rFonts w:ascii="微软雅黑" w:eastAsia="微软雅黑" w:hAnsi="微软雅黑" w:cs="宋体" w:hint="eastAsia"/>
          <w:sz w:val="24"/>
          <w:szCs w:val="24"/>
        </w:rPr>
        <w:t>年</w:t>
      </w:r>
      <w:r w:rsidRPr="00AC1442">
        <w:rPr>
          <w:rFonts w:ascii="微软雅黑" w:eastAsia="微软雅黑" w:hAnsi="微软雅黑" w:cs="宋体" w:hint="eastAsia"/>
          <w:sz w:val="24"/>
          <w:szCs w:val="24"/>
        </w:rPr>
        <w:t>4</w:t>
      </w:r>
      <w:r w:rsidRPr="00AC1442">
        <w:rPr>
          <w:rFonts w:ascii="微软雅黑" w:eastAsia="微软雅黑" w:hAnsi="微软雅黑" w:cs="宋体" w:hint="eastAsia"/>
          <w:sz w:val="24"/>
          <w:szCs w:val="24"/>
        </w:rPr>
        <w:t>月</w:t>
      </w:r>
      <w:r w:rsidRPr="00AC1442">
        <w:rPr>
          <w:rFonts w:ascii="微软雅黑" w:eastAsia="微软雅黑" w:hAnsi="微软雅黑" w:cs="宋体" w:hint="eastAsia"/>
          <w:sz w:val="24"/>
          <w:szCs w:val="24"/>
        </w:rPr>
        <w:t>26</w:t>
      </w:r>
      <w:r w:rsidRPr="00AC1442">
        <w:rPr>
          <w:rFonts w:ascii="微软雅黑" w:eastAsia="微软雅黑" w:hAnsi="微软雅黑" w:cs="宋体" w:hint="eastAsia"/>
          <w:sz w:val="24"/>
          <w:szCs w:val="24"/>
        </w:rPr>
        <w:t>日起施行；最高人民法院此前发布的司法解释及规范性文件与本规定不一致的，以本规定为准。</w:t>
      </w:r>
    </w:p>
    <w:sectPr w:rsidR="000C0329" w:rsidRPr="00AC1442" w:rsidSect="00AC1442">
      <w:headerReference w:type="even" r:id="rId7"/>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2A" w:rsidRDefault="003B552A">
      <w:r>
        <w:separator/>
      </w:r>
    </w:p>
  </w:endnote>
  <w:endnote w:type="continuationSeparator" w:id="0">
    <w:p w:rsidR="003B552A" w:rsidRDefault="003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29" w:rsidRDefault="003B552A">
    <w:pPr>
      <w:pStyle w:val="a4"/>
      <w:framePr w:wrap="around" w:vAnchor="text" w:hAnchor="page" w:x="1837" w:y="-167"/>
      <w:rPr>
        <w:rStyle w:val="a6"/>
      </w:rPr>
    </w:pPr>
    <w:r>
      <w:rPr>
        <w:rStyle w:val="a6"/>
        <w:rFonts w:asciiTheme="minorEastAsia" w:eastAsiaTheme="minorEastAsia" w:hAnsiTheme="minorEastAsia" w:cstheme="minorEastAsia" w:hint="eastAsia"/>
        <w:sz w:val="28"/>
        <w:szCs w:val="28"/>
      </w:rPr>
      <w:fldChar w:fldCharType="begin"/>
    </w:r>
    <w:r>
      <w:rPr>
        <w:rStyle w:val="a6"/>
        <w:rFonts w:asciiTheme="minorEastAsia" w:eastAsiaTheme="minorEastAsia" w:hAnsiTheme="minorEastAsia" w:cstheme="minorEastAsia" w:hint="eastAsia"/>
        <w:sz w:val="28"/>
        <w:szCs w:val="28"/>
      </w:rPr>
      <w:instrText xml:space="preserve">PAGE  </w:instrText>
    </w:r>
    <w:r>
      <w:rPr>
        <w:rStyle w:val="a6"/>
        <w:rFonts w:asciiTheme="minorEastAsia" w:eastAsiaTheme="minorEastAsia" w:hAnsiTheme="minorEastAsia" w:cstheme="minorEastAsia" w:hint="eastAsia"/>
        <w:sz w:val="28"/>
        <w:szCs w:val="28"/>
      </w:rPr>
      <w:fldChar w:fldCharType="end"/>
    </w:r>
  </w:p>
  <w:p w:rsidR="000C0329" w:rsidRDefault="000C0329">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29" w:rsidRDefault="003B552A">
    <w:pPr>
      <w:pStyle w:val="a4"/>
      <w:ind w:right="360"/>
    </w:pPr>
    <w:r>
      <w:rPr>
        <w:noProof/>
      </w:rPr>
      <mc:AlternateContent>
        <mc:Choice Requires="wps">
          <w:drawing>
            <wp:anchor distT="0" distB="0" distL="114300" distR="114300" simplePos="0" relativeHeight="251658752" behindDoc="0" locked="0" layoutInCell="1" allowOverlap="1">
              <wp:simplePos x="0" y="0"/>
              <wp:positionH relativeFrom="margin">
                <wp:posOffset>6189980</wp:posOffset>
              </wp:positionH>
              <wp:positionV relativeFrom="paragraph">
                <wp:posOffset>-135255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C0329" w:rsidRDefault="003B552A">
                          <w:pPr>
                            <w:pStyle w:val="a4"/>
                            <w:rPr>
                              <w:rStyle w:val="a6"/>
                            </w:rPr>
                          </w:pPr>
                          <w:r>
                            <w:rPr>
                              <w:rStyle w:val="a6"/>
                              <w:rFonts w:asciiTheme="minorEastAsia" w:eastAsiaTheme="minorEastAsia" w:hAnsiTheme="minorEastAsia" w:cstheme="minorEastAsia" w:hint="eastAsia"/>
                              <w:sz w:val="28"/>
                              <w:szCs w:val="28"/>
                            </w:rPr>
                            <w:fldChar w:fldCharType="begin"/>
                          </w:r>
                          <w:r>
                            <w:rPr>
                              <w:rStyle w:val="a6"/>
                              <w:rFonts w:asciiTheme="minorEastAsia" w:eastAsiaTheme="minorEastAsia" w:hAnsiTheme="minorEastAsia" w:cstheme="minorEastAsia" w:hint="eastAsia"/>
                              <w:sz w:val="28"/>
                              <w:szCs w:val="28"/>
                            </w:rPr>
                            <w:instrText xml:space="preserve">PAGE  </w:instrText>
                          </w:r>
                          <w:r>
                            <w:rPr>
                              <w:rStyle w:val="a6"/>
                              <w:rFonts w:asciiTheme="minorEastAsia" w:eastAsiaTheme="minorEastAsia" w:hAnsiTheme="minorEastAsia" w:cstheme="minorEastAsia" w:hint="eastAsia"/>
                              <w:sz w:val="28"/>
                              <w:szCs w:val="28"/>
                            </w:rPr>
                            <w:fldChar w:fldCharType="separate"/>
                          </w:r>
                          <w:r>
                            <w:rPr>
                              <w:rStyle w:val="a6"/>
                              <w:rFonts w:asciiTheme="minorEastAsia" w:eastAsiaTheme="minorEastAsia" w:hAnsiTheme="minorEastAsia" w:cstheme="minorEastAsia" w:hint="eastAsia"/>
                              <w:sz w:val="28"/>
                              <w:szCs w:val="28"/>
                            </w:rPr>
                            <w:t>0</w:t>
                          </w:r>
                          <w:r>
                            <w:rPr>
                              <w:rStyle w:val="a6"/>
                              <w:rFonts w:asciiTheme="minorEastAsia" w:eastAsiaTheme="minorEastAsia" w:hAnsiTheme="minorEastAsia" w:cstheme="minorEastAsia"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7.4pt;margin-top:-10.65pt;width:2in;height:2in;z-index:2516587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" filled="f" stroked="f">
              <v:textbox style="mso-fit-shape-to-text:t" inset="0,0,0,0">
                <w:txbxContent>
                  <w:p w:rsidR="000C0329" w:rsidRDefault="003B552A">
                    <w:pPr>
                      <w:pStyle w:val="a4"/>
                      <w:rPr>
                        <w:rStyle w:val="a6"/>
                      </w:rPr>
                    </w:pPr>
                    <w:r>
                      <w:rPr>
                        <w:rStyle w:val="a6"/>
                        <w:rFonts w:asciiTheme="minorEastAsia" w:eastAsiaTheme="minorEastAsia" w:hAnsiTheme="minorEastAsia" w:cstheme="minorEastAsia" w:hint="eastAsia"/>
                        <w:sz w:val="28"/>
                        <w:szCs w:val="28"/>
                      </w:rPr>
                      <w:fldChar w:fldCharType="begin"/>
                    </w:r>
                    <w:r>
                      <w:rPr>
                        <w:rStyle w:val="a6"/>
                        <w:rFonts w:asciiTheme="minorEastAsia" w:eastAsiaTheme="minorEastAsia" w:hAnsiTheme="minorEastAsia" w:cstheme="minorEastAsia" w:hint="eastAsia"/>
                        <w:sz w:val="28"/>
                        <w:szCs w:val="28"/>
                      </w:rPr>
                      <w:instrText xml:space="preserve">PAGE  </w:instrText>
                    </w:r>
                    <w:r>
                      <w:rPr>
                        <w:rStyle w:val="a6"/>
                        <w:rFonts w:asciiTheme="minorEastAsia" w:eastAsiaTheme="minorEastAsia" w:hAnsiTheme="minorEastAsia" w:cstheme="minorEastAsia" w:hint="eastAsia"/>
                        <w:sz w:val="28"/>
                        <w:szCs w:val="28"/>
                      </w:rPr>
                      <w:fldChar w:fldCharType="separate"/>
                    </w:r>
                    <w:r>
                      <w:rPr>
                        <w:rStyle w:val="a6"/>
                        <w:rFonts w:asciiTheme="minorEastAsia" w:eastAsiaTheme="minorEastAsia" w:hAnsiTheme="minorEastAsia" w:cstheme="minorEastAsia" w:hint="eastAsia"/>
                        <w:sz w:val="28"/>
                        <w:szCs w:val="28"/>
                      </w:rPr>
                      <w:t>0</w:t>
                    </w:r>
                    <w:r>
                      <w:rPr>
                        <w:rStyle w:val="a6"/>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2A" w:rsidRDefault="003B552A">
      <w:r>
        <w:separator/>
      </w:r>
    </w:p>
  </w:footnote>
  <w:footnote w:type="continuationSeparator" w:id="0">
    <w:p w:rsidR="003B552A" w:rsidRDefault="003B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29" w:rsidRDefault="000C032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DA3C11"/>
    <w:rsid w:val="000C0329"/>
    <w:rsid w:val="003B552A"/>
    <w:rsid w:val="008E4BA3"/>
    <w:rsid w:val="00AC1442"/>
    <w:rsid w:val="00EB3FFB"/>
    <w:rsid w:val="1ADA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EA408"/>
  <w15:docId w15:val="{CFBD95FD-DD09-49CF-97A4-87984D96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a7">
    <w:name w:val="标题名"/>
    <w:basedOn w:val="a3"/>
    <w:qFormat/>
    <w:pPr>
      <w:spacing w:line="560" w:lineRule="exact"/>
      <w:jc w:val="center"/>
    </w:pPr>
    <w:rPr>
      <w:rFonts w:hAnsi="宋体" w:cs="宋体" w:hint="eastAsia"/>
      <w:sz w:val="44"/>
      <w:szCs w:val="44"/>
    </w:rPr>
  </w:style>
  <w:style w:type="paragraph" w:customStyle="1" w:styleId="a8">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9">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Zhanglb</cp:lastModifiedBy>
  <cp:revision>4</cp:revision>
  <dcterms:created xsi:type="dcterms:W3CDTF">2019-12-26T03:22:00Z</dcterms:created>
  <dcterms:modified xsi:type="dcterms:W3CDTF">2025-09-18T08:56:00Z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